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6F21" w14:textId="77777777" w:rsidR="001B0226" w:rsidRDefault="00CB2A7E">
      <w:pPr>
        <w:pBdr>
          <w:top w:val="nil"/>
          <w:left w:val="nil"/>
          <w:bottom w:val="nil"/>
          <w:right w:val="nil"/>
          <w:between w:val="nil"/>
        </w:pBdr>
        <w:spacing w:after="101"/>
        <w:jc w:val="both"/>
        <w:rPr>
          <w:rFonts w:ascii="Arial" w:eastAsia="Arial" w:hAnsi="Arial" w:cs="Arial"/>
          <w:color w:val="000000"/>
          <w:sz w:val="18"/>
          <w:szCs w:val="18"/>
        </w:rPr>
      </w:pPr>
      <w:r>
        <w:rPr>
          <w:noProof/>
        </w:rPr>
        <w:drawing>
          <wp:anchor distT="0" distB="0" distL="114300" distR="114300" simplePos="0" relativeHeight="251658240" behindDoc="0" locked="0" layoutInCell="1" hidden="0" allowOverlap="1" wp14:anchorId="29498FCF" wp14:editId="061EC4B4">
            <wp:simplePos x="0" y="0"/>
            <wp:positionH relativeFrom="column">
              <wp:posOffset>2639695</wp:posOffset>
            </wp:positionH>
            <wp:positionV relativeFrom="paragraph">
              <wp:posOffset>40005</wp:posOffset>
            </wp:positionV>
            <wp:extent cx="1851660" cy="768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851660" cy="7683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56CF253" wp14:editId="1F993831">
            <wp:simplePos x="0" y="0"/>
            <wp:positionH relativeFrom="column">
              <wp:posOffset>739140</wp:posOffset>
            </wp:positionH>
            <wp:positionV relativeFrom="paragraph">
              <wp:posOffset>-226056</wp:posOffset>
            </wp:positionV>
            <wp:extent cx="1170940" cy="117094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0940" cy="1170940"/>
                    </a:xfrm>
                    <a:prstGeom prst="rect">
                      <a:avLst/>
                    </a:prstGeom>
                    <a:ln/>
                  </pic:spPr>
                </pic:pic>
              </a:graphicData>
            </a:graphic>
          </wp:anchor>
        </w:drawing>
      </w:r>
    </w:p>
    <w:p w14:paraId="5E6C3A1A"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p w14:paraId="78FDCD9C"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p w14:paraId="3BC5D587"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p w14:paraId="2F9D7FA0"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p w14:paraId="4835DFF6"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p w14:paraId="55DDBB1B" w14:textId="77777777" w:rsidR="001B0226" w:rsidRDefault="001B0226">
      <w:pPr>
        <w:pBdr>
          <w:top w:val="nil"/>
          <w:left w:val="nil"/>
          <w:bottom w:val="nil"/>
          <w:right w:val="nil"/>
          <w:between w:val="nil"/>
        </w:pBdr>
        <w:spacing w:after="101"/>
        <w:jc w:val="both"/>
        <w:rPr>
          <w:rFonts w:ascii="Arial" w:eastAsia="Arial" w:hAnsi="Arial" w:cs="Arial"/>
          <w:color w:val="000000"/>
          <w:sz w:val="18"/>
          <w:szCs w:val="18"/>
        </w:rPr>
      </w:pPr>
    </w:p>
    <w:tbl>
      <w:tblPr>
        <w:tblStyle w:val="a1"/>
        <w:tblW w:w="8712" w:type="dxa"/>
        <w:tblInd w:w="144" w:type="dxa"/>
        <w:tblLayout w:type="fixed"/>
        <w:tblLook w:val="0000" w:firstRow="0" w:lastRow="0" w:firstColumn="0" w:lastColumn="0" w:noHBand="0" w:noVBand="0"/>
      </w:tblPr>
      <w:tblGrid>
        <w:gridCol w:w="8712"/>
      </w:tblGrid>
      <w:tr w:rsidR="001B0226" w14:paraId="18EEBF66" w14:textId="77777777">
        <w:tc>
          <w:tcPr>
            <w:tcW w:w="8712" w:type="dxa"/>
            <w:tcBorders>
              <w:top w:val="single" w:sz="6" w:space="0" w:color="000000"/>
              <w:left w:val="single" w:sz="6" w:space="0" w:color="000000"/>
              <w:bottom w:val="single" w:sz="6" w:space="0" w:color="000000"/>
              <w:right w:val="single" w:sz="6" w:space="0" w:color="000000"/>
            </w:tcBorders>
          </w:tcPr>
          <w:p w14:paraId="365FD360" w14:textId="77777777" w:rsidR="001B0226" w:rsidRDefault="00CB2A7E">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 xml:space="preserve">NOMBRE DE LA ASIGNATURA O UNIDAD DE APRENDIZAJE. </w:t>
            </w:r>
          </w:p>
          <w:p w14:paraId="153CD82E" w14:textId="77777777" w:rsidR="001B0226" w:rsidRDefault="001B0226">
            <w:pPr>
              <w:pBdr>
                <w:top w:val="nil"/>
                <w:left w:val="nil"/>
                <w:bottom w:val="nil"/>
                <w:right w:val="nil"/>
                <w:between w:val="nil"/>
              </w:pBdr>
              <w:spacing w:before="20" w:after="20"/>
              <w:jc w:val="both"/>
              <w:rPr>
                <w:rFonts w:ascii="Arial" w:eastAsia="Arial" w:hAnsi="Arial" w:cs="Arial"/>
                <w:color w:val="000000"/>
                <w:sz w:val="18"/>
                <w:szCs w:val="18"/>
              </w:rPr>
            </w:pPr>
            <w:bookmarkStart w:id="0" w:name="_heading=h.gjdgxs" w:colFirst="0" w:colLast="0"/>
            <w:bookmarkEnd w:id="0"/>
          </w:p>
          <w:p w14:paraId="5A3E0911" w14:textId="77777777" w:rsidR="001B0226" w:rsidRDefault="00CB2A7E">
            <w:pPr>
              <w:spacing w:before="20" w:after="20"/>
              <w:jc w:val="center"/>
              <w:rPr>
                <w:rFonts w:ascii="Arial" w:eastAsia="Arial" w:hAnsi="Arial" w:cs="Arial"/>
                <w:b/>
                <w:color w:val="FF0000"/>
                <w:sz w:val="18"/>
                <w:szCs w:val="18"/>
              </w:rPr>
            </w:pPr>
            <w:r>
              <w:rPr>
                <w:rFonts w:ascii="Arial" w:eastAsia="Arial" w:hAnsi="Arial" w:cs="Arial"/>
                <w:b/>
                <w:color w:val="000000"/>
                <w:sz w:val="18"/>
                <w:szCs w:val="18"/>
              </w:rPr>
              <w:t>LABORATORIO EXTRAMUROS (CURSO DE ESPECIALIDAD II)</w:t>
            </w:r>
          </w:p>
        </w:tc>
      </w:tr>
    </w:tbl>
    <w:p w14:paraId="1A3166F3"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74474946"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tbl>
      <w:tblPr>
        <w:tblStyle w:val="a2"/>
        <w:tblW w:w="8712" w:type="dxa"/>
        <w:tblInd w:w="144" w:type="dxa"/>
        <w:tblLayout w:type="fixed"/>
        <w:tblLook w:val="0000" w:firstRow="0" w:lastRow="0" w:firstColumn="0" w:lastColumn="0" w:noHBand="0" w:noVBand="0"/>
      </w:tblPr>
      <w:tblGrid>
        <w:gridCol w:w="4176"/>
        <w:gridCol w:w="360"/>
        <w:gridCol w:w="4176"/>
      </w:tblGrid>
      <w:tr w:rsidR="001B0226" w14:paraId="55380585" w14:textId="77777777">
        <w:tc>
          <w:tcPr>
            <w:tcW w:w="4176" w:type="dxa"/>
            <w:tcBorders>
              <w:top w:val="single" w:sz="6" w:space="0" w:color="000000"/>
              <w:left w:val="single" w:sz="6" w:space="0" w:color="000000"/>
              <w:right w:val="single" w:sz="6" w:space="0" w:color="000000"/>
            </w:tcBorders>
          </w:tcPr>
          <w:p w14:paraId="6DD2E9D4" w14:textId="77777777" w:rsidR="001B0226" w:rsidRDefault="00CB2A7E">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 xml:space="preserve">CICLO </w:t>
            </w:r>
          </w:p>
        </w:tc>
        <w:tc>
          <w:tcPr>
            <w:tcW w:w="360" w:type="dxa"/>
          </w:tcPr>
          <w:p w14:paraId="4F615D54" w14:textId="77777777" w:rsidR="001B0226" w:rsidRDefault="001B0226">
            <w:pPr>
              <w:pBdr>
                <w:top w:val="nil"/>
                <w:left w:val="nil"/>
                <w:bottom w:val="nil"/>
                <w:right w:val="nil"/>
                <w:between w:val="nil"/>
              </w:pBdr>
              <w:spacing w:before="20" w:after="20"/>
              <w:jc w:val="both"/>
              <w:rPr>
                <w:rFonts w:ascii="Arial" w:eastAsia="Arial" w:hAnsi="Arial" w:cs="Arial"/>
                <w:color w:val="000000"/>
                <w:sz w:val="18"/>
                <w:szCs w:val="18"/>
              </w:rPr>
            </w:pPr>
          </w:p>
        </w:tc>
        <w:tc>
          <w:tcPr>
            <w:tcW w:w="4176" w:type="dxa"/>
            <w:tcBorders>
              <w:top w:val="single" w:sz="6" w:space="0" w:color="000000"/>
              <w:left w:val="single" w:sz="6" w:space="0" w:color="000000"/>
              <w:right w:val="single" w:sz="6" w:space="0" w:color="000000"/>
            </w:tcBorders>
          </w:tcPr>
          <w:p w14:paraId="65464E55" w14:textId="77777777" w:rsidR="001B0226" w:rsidRDefault="00CB2A7E">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b/>
                <w:color w:val="000000"/>
                <w:sz w:val="18"/>
                <w:szCs w:val="18"/>
              </w:rPr>
              <w:t xml:space="preserve">CLAVE DE LA ASIGNATURA </w:t>
            </w:r>
          </w:p>
        </w:tc>
      </w:tr>
      <w:tr w:rsidR="001B0226" w14:paraId="7831100D" w14:textId="77777777">
        <w:tc>
          <w:tcPr>
            <w:tcW w:w="4176" w:type="dxa"/>
            <w:tcBorders>
              <w:left w:val="single" w:sz="6" w:space="0" w:color="000000"/>
              <w:bottom w:val="single" w:sz="6" w:space="0" w:color="000000"/>
              <w:right w:val="single" w:sz="6" w:space="0" w:color="000000"/>
            </w:tcBorders>
          </w:tcPr>
          <w:p w14:paraId="613895B5" w14:textId="77777777" w:rsidR="001B0226" w:rsidRDefault="00CB2A7E">
            <w:pPr>
              <w:pBdr>
                <w:top w:val="nil"/>
                <w:left w:val="nil"/>
                <w:bottom w:val="nil"/>
                <w:right w:val="nil"/>
                <w:between w:val="nil"/>
              </w:pBdr>
              <w:spacing w:before="20" w:after="20"/>
              <w:jc w:val="both"/>
              <w:rPr>
                <w:rFonts w:ascii="Arial" w:eastAsia="Arial" w:hAnsi="Arial" w:cs="Arial"/>
                <w:color w:val="000000"/>
                <w:sz w:val="18"/>
                <w:szCs w:val="18"/>
              </w:rPr>
            </w:pPr>
            <w:r>
              <w:rPr>
                <w:rFonts w:ascii="Arial" w:eastAsia="Arial" w:hAnsi="Arial" w:cs="Arial"/>
                <w:color w:val="000000"/>
                <w:sz w:val="18"/>
                <w:szCs w:val="18"/>
              </w:rPr>
              <w:t>Segundo semestre</w:t>
            </w:r>
          </w:p>
        </w:tc>
        <w:tc>
          <w:tcPr>
            <w:tcW w:w="360" w:type="dxa"/>
          </w:tcPr>
          <w:p w14:paraId="52D42B27" w14:textId="77777777" w:rsidR="001B0226" w:rsidRDefault="001B0226">
            <w:pPr>
              <w:pBdr>
                <w:top w:val="nil"/>
                <w:left w:val="nil"/>
                <w:bottom w:val="nil"/>
                <w:right w:val="nil"/>
                <w:between w:val="nil"/>
              </w:pBdr>
              <w:spacing w:before="20" w:after="20"/>
              <w:jc w:val="both"/>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30884E50" w14:textId="77777777" w:rsidR="001B0226" w:rsidRDefault="001B0226">
            <w:pPr>
              <w:pBdr>
                <w:top w:val="nil"/>
                <w:left w:val="nil"/>
                <w:bottom w:val="nil"/>
                <w:right w:val="nil"/>
                <w:between w:val="nil"/>
              </w:pBdr>
              <w:spacing w:before="20" w:after="20"/>
              <w:jc w:val="both"/>
              <w:rPr>
                <w:rFonts w:ascii="Arial" w:eastAsia="Arial" w:hAnsi="Arial" w:cs="Arial"/>
                <w:color w:val="000000"/>
                <w:sz w:val="18"/>
                <w:szCs w:val="18"/>
              </w:rPr>
            </w:pPr>
          </w:p>
        </w:tc>
      </w:tr>
    </w:tbl>
    <w:p w14:paraId="0D41BD62"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2E0B196A" w14:textId="77777777" w:rsidR="001B0226" w:rsidRDefault="00CB2A7E">
      <w:pPr>
        <w:jc w:val="both"/>
        <w:rPr>
          <w:rFonts w:ascii="Arial" w:eastAsia="Arial" w:hAnsi="Arial" w:cs="Arial"/>
          <w:sz w:val="18"/>
          <w:szCs w:val="18"/>
        </w:rPr>
      </w:pPr>
      <w:r>
        <w:rPr>
          <w:rFonts w:ascii="Arial" w:eastAsia="Arial" w:hAnsi="Arial" w:cs="Arial"/>
          <w:b/>
          <w:sz w:val="18"/>
          <w:szCs w:val="18"/>
        </w:rPr>
        <w:t xml:space="preserve">OBJETIVO(S) GENERAL(ES) DE LA ASIGNATURA </w:t>
      </w:r>
      <w:r>
        <w:rPr>
          <w:rFonts w:ascii="Arial" w:eastAsia="Arial" w:hAnsi="Arial" w:cs="Arial"/>
          <w:sz w:val="18"/>
          <w:szCs w:val="18"/>
        </w:rPr>
        <w:t xml:space="preserve"> </w:t>
      </w:r>
    </w:p>
    <w:p w14:paraId="7ADAD5EA" w14:textId="77777777" w:rsidR="001B0226" w:rsidRDefault="001B0226">
      <w:pPr>
        <w:widowControl w:val="0"/>
        <w:ind w:left="540"/>
        <w:jc w:val="both"/>
        <w:rPr>
          <w:rFonts w:ascii="Arial" w:eastAsia="Arial" w:hAnsi="Arial" w:cs="Arial"/>
          <w:sz w:val="18"/>
          <w:szCs w:val="18"/>
        </w:rPr>
      </w:pPr>
    </w:p>
    <w:p w14:paraId="384D6D1E" w14:textId="77777777" w:rsidR="001B0226" w:rsidRDefault="001B0226">
      <w:pPr>
        <w:pBdr>
          <w:top w:val="nil"/>
          <w:left w:val="nil"/>
          <w:bottom w:val="nil"/>
          <w:right w:val="nil"/>
          <w:between w:val="nil"/>
        </w:pBdr>
        <w:spacing w:after="101"/>
        <w:ind w:firstLine="288"/>
        <w:jc w:val="both"/>
        <w:rPr>
          <w:rFonts w:ascii="Arial" w:eastAsia="Arial" w:hAnsi="Arial" w:cs="Arial"/>
          <w:color w:val="FF0000"/>
          <w:sz w:val="18"/>
          <w:szCs w:val="18"/>
        </w:rPr>
      </w:pPr>
    </w:p>
    <w:p w14:paraId="0D5FDC29" w14:textId="77777777" w:rsidR="001B0226" w:rsidRDefault="00CB2A7E">
      <w:pPr>
        <w:jc w:val="both"/>
        <w:rPr>
          <w:rFonts w:ascii="Arial" w:eastAsia="Arial" w:hAnsi="Arial" w:cs="Arial"/>
          <w:color w:val="000000"/>
          <w:sz w:val="18"/>
          <w:szCs w:val="18"/>
        </w:rPr>
      </w:pPr>
      <w:r>
        <w:rPr>
          <w:rFonts w:ascii="Arial" w:eastAsia="Arial" w:hAnsi="Arial" w:cs="Arial"/>
          <w:color w:val="000000"/>
          <w:sz w:val="18"/>
          <w:szCs w:val="18"/>
        </w:rPr>
        <w:t xml:space="preserve">El </w:t>
      </w:r>
      <w:proofErr w:type="spellStart"/>
      <w:r>
        <w:rPr>
          <w:rFonts w:ascii="Arial" w:eastAsia="Arial" w:hAnsi="Arial" w:cs="Arial"/>
          <w:color w:val="000000"/>
          <w:sz w:val="18"/>
          <w:szCs w:val="18"/>
        </w:rPr>
        <w:t>IPICyT</w:t>
      </w:r>
      <w:proofErr w:type="spellEnd"/>
      <w:r>
        <w:rPr>
          <w:rFonts w:ascii="Arial" w:eastAsia="Arial" w:hAnsi="Arial" w:cs="Arial"/>
          <w:color w:val="000000"/>
          <w:sz w:val="18"/>
          <w:szCs w:val="18"/>
        </w:rPr>
        <w:t xml:space="preserve"> fue concebido como un Centro de Investigación con capacidad para atender problemas regionales y con un fuerte potencial de llevar a cabo colaboraciones e investigaciones con un enfoque multi, inter y transdisciplinario, por lo que cuenta con la m</w:t>
      </w:r>
      <w:r>
        <w:rPr>
          <w:rFonts w:ascii="Arial" w:eastAsia="Arial" w:hAnsi="Arial" w:cs="Arial"/>
          <w:color w:val="000000"/>
          <w:sz w:val="18"/>
          <w:szCs w:val="18"/>
        </w:rPr>
        <w:t>ateria prima necesaria para abordar problemas complejos de distinta índole. El objetivo de este curso es proveer un espacio para los estudiantes que les permita abordar problemas complejos de manera práctica, con énfasis en el desarrollo de colaboración en</w:t>
      </w:r>
      <w:r>
        <w:rPr>
          <w:rFonts w:ascii="Arial" w:eastAsia="Arial" w:hAnsi="Arial" w:cs="Arial"/>
          <w:color w:val="000000"/>
          <w:sz w:val="18"/>
          <w:szCs w:val="18"/>
        </w:rPr>
        <w:t>tre distintas áreas de investigación y disciplinas. Se proporcionará un catálogo de problemas ambientales complejos para guiar a los alumnos en el tipo de proyectos a abordar en esta asignatura.  Se incluirá la participación de sectores no-académicos, nece</w:t>
      </w:r>
      <w:r>
        <w:rPr>
          <w:rFonts w:ascii="Arial" w:eastAsia="Arial" w:hAnsi="Arial" w:cs="Arial"/>
          <w:color w:val="000000"/>
          <w:sz w:val="18"/>
          <w:szCs w:val="18"/>
        </w:rPr>
        <w:t>sarios para abordar problemas ambientales complejos, con el fin de buscar de manera colectiva soluciones integrales para el desarrollo sostenible. Por la naturaleza de este curso, se buscará la participación de estudiantes y académicos de distintas discipl</w:t>
      </w:r>
      <w:r>
        <w:rPr>
          <w:rFonts w:ascii="Arial" w:eastAsia="Arial" w:hAnsi="Arial" w:cs="Arial"/>
          <w:color w:val="000000"/>
          <w:sz w:val="18"/>
          <w:szCs w:val="18"/>
        </w:rPr>
        <w:t xml:space="preserve">inas, por lo que será un curso que se ofrecerá para estudiantes de todas las divisiones del </w:t>
      </w:r>
      <w:proofErr w:type="spellStart"/>
      <w:r>
        <w:rPr>
          <w:rFonts w:ascii="Arial" w:eastAsia="Arial" w:hAnsi="Arial" w:cs="Arial"/>
          <w:color w:val="000000"/>
          <w:sz w:val="18"/>
          <w:szCs w:val="18"/>
        </w:rPr>
        <w:t>IPICyT</w:t>
      </w:r>
      <w:proofErr w:type="spellEnd"/>
      <w:r>
        <w:rPr>
          <w:rFonts w:ascii="Arial" w:eastAsia="Arial" w:hAnsi="Arial" w:cs="Arial"/>
          <w:color w:val="000000"/>
          <w:sz w:val="18"/>
          <w:szCs w:val="18"/>
        </w:rPr>
        <w:t xml:space="preserve"> y de otras instituciones. Se pretende que el alumno desarrolle habilidades de trabajo en equipo en un marco de transdisciplina que le sirvan en su desempeño </w:t>
      </w:r>
      <w:r>
        <w:rPr>
          <w:rFonts w:ascii="Arial" w:eastAsia="Arial" w:hAnsi="Arial" w:cs="Arial"/>
          <w:color w:val="000000"/>
          <w:sz w:val="18"/>
          <w:szCs w:val="18"/>
        </w:rPr>
        <w:t>al egresar del posgrado. La asignatura presenta una guía de trabajo general (dividida en seis Unidades) y se contempla adaptar la dinámica de trabajo al núcleo de estudiantes y académicos participantes en el curso, así como al problema complejo a enfrentar</w:t>
      </w:r>
      <w:r>
        <w:rPr>
          <w:rFonts w:ascii="Arial" w:eastAsia="Arial" w:hAnsi="Arial" w:cs="Arial"/>
          <w:color w:val="000000"/>
          <w:sz w:val="18"/>
          <w:szCs w:val="18"/>
        </w:rPr>
        <w:t>. Los alumnos reportarán un producto final, en donde se planteen respuestas o alternativas a un problema ambiental complejo (el cual será definido al inicio del semestre). En la Unidad 1, los alumnos e integrantes identifican conjuntamente el problema cent</w:t>
      </w:r>
      <w:r>
        <w:rPr>
          <w:rFonts w:ascii="Arial" w:eastAsia="Arial" w:hAnsi="Arial" w:cs="Arial"/>
          <w:color w:val="000000"/>
          <w:sz w:val="18"/>
          <w:szCs w:val="18"/>
        </w:rPr>
        <w:t>ral que se decide abordar durante el semestre. Se definen los objetivos y las metas específicas por alcanzar en el proyecto. En la Unidad 2, después de haber realizado un diagnóstico general del problema, se diseñan las estrategias para atender el problema</w:t>
      </w:r>
      <w:r>
        <w:rPr>
          <w:rFonts w:ascii="Arial" w:eastAsia="Arial" w:hAnsi="Arial" w:cs="Arial"/>
          <w:color w:val="000000"/>
          <w:sz w:val="18"/>
          <w:szCs w:val="18"/>
        </w:rPr>
        <w:t xml:space="preserve"> de manera inter y transdisciplinaria. En la Unidad 3, el grupo establece las acciones y los actores necesarios para abordar el problema, acorde con las estrategias previamente definidas desde una perspectiva multisectorial y considerando metas a corto, me</w:t>
      </w:r>
      <w:r>
        <w:rPr>
          <w:rFonts w:ascii="Arial" w:eastAsia="Arial" w:hAnsi="Arial" w:cs="Arial"/>
          <w:color w:val="000000"/>
          <w:sz w:val="18"/>
          <w:szCs w:val="18"/>
        </w:rPr>
        <w:t>diano y largo plazo. En la Unidad 4, se recopila la información disponible para definir y generar (en la medida de lo posible) los datos clave necesarios. En la Unidad 5, se analizan y evalúan críticamente los resultados/avances obtenidos en conjunto con l</w:t>
      </w:r>
      <w:r>
        <w:rPr>
          <w:rFonts w:ascii="Arial" w:eastAsia="Arial" w:hAnsi="Arial" w:cs="Arial"/>
          <w:color w:val="000000"/>
          <w:sz w:val="18"/>
          <w:szCs w:val="18"/>
        </w:rPr>
        <w:t xml:space="preserve">os diversos actores involucrados. Finalmente, en la Unidad 6 se elabora y presenta el producto final, el cual puede variar en formato (por ejemplo: artículo de divulgación científica, mesa de trabajo, videos, infografías, etc.).       </w:t>
      </w:r>
    </w:p>
    <w:p w14:paraId="318DD694" w14:textId="77777777" w:rsidR="001B0226" w:rsidRDefault="001B0226">
      <w:pPr>
        <w:pBdr>
          <w:top w:val="nil"/>
          <w:left w:val="nil"/>
          <w:bottom w:val="nil"/>
          <w:right w:val="nil"/>
          <w:between w:val="nil"/>
        </w:pBdr>
        <w:spacing w:after="101"/>
        <w:jc w:val="both"/>
        <w:rPr>
          <w:rFonts w:ascii="Arial" w:eastAsia="Arial" w:hAnsi="Arial" w:cs="Arial"/>
          <w:sz w:val="18"/>
          <w:szCs w:val="18"/>
        </w:rPr>
      </w:pPr>
    </w:p>
    <w:p w14:paraId="296DC2C2" w14:textId="77777777" w:rsidR="001B0226" w:rsidRDefault="001B0226">
      <w:pPr>
        <w:rPr>
          <w:rFonts w:ascii="Arial" w:eastAsia="Arial" w:hAnsi="Arial" w:cs="Arial"/>
          <w:color w:val="FF0000"/>
          <w:sz w:val="18"/>
          <w:szCs w:val="18"/>
        </w:rPr>
      </w:pPr>
    </w:p>
    <w:p w14:paraId="72D561E4" w14:textId="77777777" w:rsidR="001B0226" w:rsidRDefault="001B0226">
      <w:pPr>
        <w:rPr>
          <w:rFonts w:ascii="Arial" w:eastAsia="Arial" w:hAnsi="Arial" w:cs="Arial"/>
          <w:color w:val="FF0000"/>
          <w:sz w:val="18"/>
          <w:szCs w:val="18"/>
        </w:rPr>
      </w:pPr>
    </w:p>
    <w:p w14:paraId="7F196AB9" w14:textId="77777777" w:rsidR="001B0226" w:rsidRDefault="001B0226">
      <w:pPr>
        <w:widowControl w:val="0"/>
        <w:jc w:val="both"/>
        <w:rPr>
          <w:rFonts w:ascii="Arial" w:eastAsia="Arial" w:hAnsi="Arial" w:cs="Arial"/>
          <w:color w:val="000000"/>
          <w:sz w:val="18"/>
          <w:szCs w:val="18"/>
        </w:rPr>
      </w:pPr>
    </w:p>
    <w:p w14:paraId="0D204800" w14:textId="77777777" w:rsidR="001B0226" w:rsidRDefault="00CB2A7E">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TEMAS Y SUBTEMAS</w:t>
      </w:r>
      <w:r>
        <w:rPr>
          <w:rFonts w:ascii="Arial" w:eastAsia="Arial" w:hAnsi="Arial" w:cs="Arial"/>
          <w:b/>
          <w:color w:val="000000"/>
          <w:sz w:val="18"/>
          <w:szCs w:val="18"/>
        </w:rPr>
        <w:t xml:space="preserve"> </w:t>
      </w:r>
    </w:p>
    <w:p w14:paraId="2A76E72B"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2E8F14D2"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 xml:space="preserve">Unidad 1: Definición del problema, objetivos y metas </w:t>
      </w:r>
    </w:p>
    <w:p w14:paraId="421E789B"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2: Diseño de estrategias para atender el problema</w:t>
      </w:r>
    </w:p>
    <w:p w14:paraId="2605B49E"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3: Aplicación de la estrategia desde una perspectiva interdisciplinaria y multisectorial</w:t>
      </w:r>
    </w:p>
    <w:p w14:paraId="43EED0DD"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 xml:space="preserve">Unidad 4: Acciones: Recopilación de información y colecta de datos </w:t>
      </w:r>
    </w:p>
    <w:p w14:paraId="3BCF825B"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lastRenderedPageBreak/>
        <w:t>Unidad 5: Análisis y evaluación de los resultados</w:t>
      </w:r>
    </w:p>
    <w:p w14:paraId="22C8AF42" w14:textId="77777777"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Unidad 6: Elaboración y presentación de un producto final</w:t>
      </w:r>
    </w:p>
    <w:p w14:paraId="07F8346C"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57FFC49C"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0A26896A" w14:textId="77777777" w:rsidR="001B0226" w:rsidRDefault="00CB2A7E">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 xml:space="preserve">ACTIVIDADES DE APRENDIZAJE </w:t>
      </w:r>
    </w:p>
    <w:p w14:paraId="03725AD6" w14:textId="77777777" w:rsidR="001B0226" w:rsidRDefault="00CB2A7E">
      <w:pPr>
        <w:spacing w:after="101"/>
        <w:ind w:left="426"/>
        <w:jc w:val="both"/>
        <w:rPr>
          <w:rFonts w:ascii="Arial" w:eastAsia="Arial" w:hAnsi="Arial" w:cs="Arial"/>
          <w:color w:val="000000"/>
          <w:sz w:val="18"/>
          <w:szCs w:val="18"/>
        </w:rPr>
      </w:pPr>
      <w:r>
        <w:rPr>
          <w:rFonts w:ascii="Arial" w:eastAsia="Arial" w:hAnsi="Arial" w:cs="Arial"/>
          <w:color w:val="000000"/>
          <w:sz w:val="18"/>
          <w:szCs w:val="18"/>
        </w:rPr>
        <w:t>En este curso, los estudiantes del área SAC podrán aplicar los conceptos básicos y avanzados de la Línea de Generación</w:t>
      </w:r>
      <w:r>
        <w:rPr>
          <w:rFonts w:ascii="Arial" w:eastAsia="Arial" w:hAnsi="Arial" w:cs="Arial"/>
          <w:color w:val="000000"/>
          <w:sz w:val="18"/>
          <w:szCs w:val="18"/>
        </w:rPr>
        <w:t xml:space="preserve"> y Aplicación del Conocimiento “Sistemas Ambientales Complejos”. Por su parte, los estudiantes provenientes de otras divisiones podrán integrarse al grupo, enriquecer el trabajo con las habilidades propias de su tema de conocimiento y conocer nuevas herram</w:t>
      </w:r>
      <w:r>
        <w:rPr>
          <w:rFonts w:ascii="Arial" w:eastAsia="Arial" w:hAnsi="Arial" w:cs="Arial"/>
          <w:color w:val="000000"/>
          <w:sz w:val="18"/>
          <w:szCs w:val="18"/>
        </w:rPr>
        <w:t>ientas para abordar problemas complejos. En conjunto, los estudiantes tendrán la experiencia de trabajar en equipos transdisciplinarios, interactuar con otros sectores y contribuir desde sus áreas del conocimiento a la solución del problema abordado.</w:t>
      </w:r>
    </w:p>
    <w:p w14:paraId="5513877A" w14:textId="42DF305C" w:rsidR="001B0226" w:rsidRDefault="00CB2A7E">
      <w:pPr>
        <w:pBdr>
          <w:top w:val="nil"/>
          <w:left w:val="nil"/>
          <w:bottom w:val="nil"/>
          <w:right w:val="nil"/>
          <w:between w:val="nil"/>
        </w:pBdr>
        <w:spacing w:after="101"/>
        <w:ind w:left="426"/>
        <w:jc w:val="both"/>
        <w:rPr>
          <w:rFonts w:ascii="Arial" w:eastAsia="Arial" w:hAnsi="Arial" w:cs="Arial"/>
          <w:color w:val="000000"/>
          <w:sz w:val="18"/>
          <w:szCs w:val="18"/>
        </w:rPr>
      </w:pPr>
      <w:r>
        <w:rPr>
          <w:rFonts w:ascii="Arial" w:eastAsia="Arial" w:hAnsi="Arial" w:cs="Arial"/>
          <w:color w:val="000000"/>
          <w:sz w:val="18"/>
          <w:szCs w:val="18"/>
        </w:rPr>
        <w:t>Durante este curso, bajo la supervisión de los profesores, los estudiantes formarán un grupo de trabajo multidisciplinario y serán los responsables de dirigir un proyecto que aborde un problema que se circunscribe dentro de los sistemas ambientales complej</w:t>
      </w:r>
      <w:r>
        <w:rPr>
          <w:rFonts w:ascii="Arial" w:eastAsia="Arial" w:hAnsi="Arial" w:cs="Arial"/>
          <w:color w:val="000000"/>
          <w:sz w:val="18"/>
          <w:szCs w:val="18"/>
        </w:rPr>
        <w:t>os. La principal actividad de aprendizaje consistirá en exponer a los alumnos a la complejidad de los problemas ambientales reales, con el reto de proponer una solución a un problema particular. Para lograr esta actividad, los alumnos deberán identificar y</w:t>
      </w:r>
      <w:r>
        <w:rPr>
          <w:rFonts w:ascii="Arial" w:eastAsia="Arial" w:hAnsi="Arial" w:cs="Arial"/>
          <w:color w:val="000000"/>
          <w:sz w:val="18"/>
          <w:szCs w:val="18"/>
        </w:rPr>
        <w:t xml:space="preserve"> definir colectivamente el sistema complejo asociado al problema definido, para posteriormente diseñar una estrategia transdisciplinaria para atender el problema: identificando los sectores y disciplinas involucrados, las diferentes variables, los procesos</w:t>
      </w:r>
      <w:r>
        <w:rPr>
          <w:rFonts w:ascii="Arial" w:eastAsia="Arial" w:hAnsi="Arial" w:cs="Arial"/>
          <w:color w:val="000000"/>
          <w:sz w:val="18"/>
          <w:szCs w:val="18"/>
        </w:rPr>
        <w:t xml:space="preserve"> y factores, y las interacciones y retroalimentaciones entre todos estos elementos. Además, llevarán a cabo las actividades necesarias para atender el problema, lo que incluye interactuar y conocer la problemática de los puntos de vista de los distintos se</w:t>
      </w:r>
      <w:r>
        <w:rPr>
          <w:rFonts w:ascii="Arial" w:eastAsia="Arial" w:hAnsi="Arial" w:cs="Arial"/>
          <w:color w:val="000000"/>
          <w:sz w:val="18"/>
          <w:szCs w:val="18"/>
        </w:rPr>
        <w:t>ctores. Posteriormente, deberán evaluar colectivamente si la estrategia propuesta es posible de aplicarla y los retos potenciales a considerar para el éxito del proyecto (que contribuya a la solución del problema). Finalmente, los alumnos deberán desarroll</w:t>
      </w:r>
      <w:r>
        <w:rPr>
          <w:rFonts w:ascii="Arial" w:eastAsia="Arial" w:hAnsi="Arial" w:cs="Arial"/>
          <w:color w:val="000000"/>
          <w:sz w:val="18"/>
          <w:szCs w:val="18"/>
        </w:rPr>
        <w:t>ar un reporte final, que incluye los resultados de cada unidad y el camino para resolver el problema abordado. Este reporte final se acompañará de uno de los productos finales sugeridos (por ejemplo, infografías o videos) que podrá ser compartido con los s</w:t>
      </w:r>
      <w:r>
        <w:rPr>
          <w:rFonts w:ascii="Arial" w:eastAsia="Arial" w:hAnsi="Arial" w:cs="Arial"/>
          <w:color w:val="000000"/>
          <w:sz w:val="18"/>
          <w:szCs w:val="18"/>
        </w:rPr>
        <w:t xml:space="preserve">ectores de la sociedad (académicos, gubernamentales, sociales y empresariales). </w:t>
      </w:r>
      <w:r>
        <w:rPr>
          <w:rFonts w:ascii="Arial" w:eastAsia="Arial" w:hAnsi="Arial" w:cs="Arial"/>
          <w:color w:val="000000"/>
          <w:sz w:val="18"/>
          <w:szCs w:val="18"/>
        </w:rPr>
        <w:t>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10).</w:t>
      </w:r>
    </w:p>
    <w:p w14:paraId="694134F3" w14:textId="77777777" w:rsidR="001B0226" w:rsidRDefault="001B0226">
      <w:pPr>
        <w:pBdr>
          <w:top w:val="nil"/>
          <w:left w:val="nil"/>
          <w:bottom w:val="nil"/>
          <w:right w:val="nil"/>
          <w:between w:val="nil"/>
        </w:pBdr>
        <w:spacing w:after="101"/>
        <w:ind w:firstLine="288"/>
        <w:jc w:val="both"/>
        <w:rPr>
          <w:rFonts w:ascii="Arial" w:eastAsia="Arial" w:hAnsi="Arial" w:cs="Arial"/>
          <w:sz w:val="18"/>
          <w:szCs w:val="18"/>
        </w:rPr>
      </w:pPr>
    </w:p>
    <w:p w14:paraId="0599421F"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638A4BB1" w14:textId="77777777" w:rsidR="001B0226" w:rsidRDefault="00CB2A7E">
      <w:pPr>
        <w:pBdr>
          <w:top w:val="nil"/>
          <w:left w:val="nil"/>
          <w:bottom w:val="nil"/>
          <w:right w:val="nil"/>
          <w:between w:val="nil"/>
        </w:pBdr>
        <w:spacing w:after="101"/>
        <w:jc w:val="both"/>
        <w:rPr>
          <w:rFonts w:ascii="Arial" w:eastAsia="Arial" w:hAnsi="Arial" w:cs="Arial"/>
          <w:color w:val="000000"/>
          <w:sz w:val="18"/>
          <w:szCs w:val="18"/>
        </w:rPr>
      </w:pPr>
      <w:r>
        <w:rPr>
          <w:rFonts w:ascii="Arial" w:eastAsia="Arial" w:hAnsi="Arial" w:cs="Arial"/>
          <w:b/>
          <w:color w:val="000000"/>
          <w:sz w:val="18"/>
          <w:szCs w:val="18"/>
        </w:rPr>
        <w:t xml:space="preserve">CRITERIOS Y PROCEDIMIENTOS DE EVALUACION Y ACREDITACION </w:t>
      </w:r>
    </w:p>
    <w:p w14:paraId="4B86BA7D" w14:textId="77777777" w:rsidR="001B0226" w:rsidRDefault="001B0226">
      <w:pPr>
        <w:widowControl w:val="0"/>
        <w:tabs>
          <w:tab w:val="left" w:pos="5040"/>
        </w:tabs>
        <w:ind w:left="360"/>
        <w:jc w:val="both"/>
        <w:rPr>
          <w:rFonts w:ascii="Arial" w:eastAsia="Arial" w:hAnsi="Arial" w:cs="Arial"/>
          <w:sz w:val="18"/>
          <w:szCs w:val="18"/>
        </w:rPr>
      </w:pPr>
    </w:p>
    <w:p w14:paraId="0AAD2A8D" w14:textId="77777777" w:rsidR="001B0226" w:rsidRDefault="00CB2A7E">
      <w:pPr>
        <w:pBdr>
          <w:top w:val="nil"/>
          <w:left w:val="nil"/>
          <w:bottom w:val="nil"/>
          <w:right w:val="nil"/>
          <w:between w:val="nil"/>
        </w:pBdr>
        <w:tabs>
          <w:tab w:val="center" w:pos="12780"/>
        </w:tabs>
        <w:spacing w:after="101"/>
        <w:ind w:left="426"/>
        <w:jc w:val="both"/>
        <w:rPr>
          <w:rFonts w:ascii="Arial" w:eastAsia="Arial" w:hAnsi="Arial" w:cs="Arial"/>
          <w:color w:val="000000"/>
          <w:sz w:val="18"/>
          <w:szCs w:val="18"/>
        </w:rPr>
      </w:pPr>
      <w:r>
        <w:rPr>
          <w:rFonts w:ascii="Arial" w:eastAsia="Arial" w:hAnsi="Arial" w:cs="Arial"/>
          <w:color w:val="000000"/>
          <w:sz w:val="18"/>
          <w:szCs w:val="18"/>
        </w:rPr>
        <w:t xml:space="preserve">En conjunto, los profesores de la asignatura asignarán la calificación con base en la participación individual de cada estudiante (40 % de la calificación final) y la calidad del </w:t>
      </w:r>
      <w:r>
        <w:rPr>
          <w:rFonts w:ascii="Arial" w:eastAsia="Arial" w:hAnsi="Arial" w:cs="Arial"/>
          <w:sz w:val="18"/>
          <w:szCs w:val="18"/>
        </w:rPr>
        <w:t>producto</w:t>
      </w:r>
      <w:r>
        <w:rPr>
          <w:rFonts w:ascii="Arial" w:eastAsia="Arial" w:hAnsi="Arial" w:cs="Arial"/>
          <w:color w:val="000000"/>
          <w:sz w:val="18"/>
          <w:szCs w:val="18"/>
        </w:rPr>
        <w:t xml:space="preserve"> final (40% de la calificación final).  A su vez, los compañeros inte</w:t>
      </w:r>
      <w:r>
        <w:rPr>
          <w:rFonts w:ascii="Arial" w:eastAsia="Arial" w:hAnsi="Arial" w:cs="Arial"/>
          <w:color w:val="000000"/>
          <w:sz w:val="18"/>
          <w:szCs w:val="18"/>
        </w:rPr>
        <w:t xml:space="preserve">grantes del equipo de trabajo emitirán una evaluación para cada miembro del equipo en base a su desempeño y compromiso (20% de la calificación final).  </w:t>
      </w:r>
    </w:p>
    <w:p w14:paraId="30460E3C" w14:textId="77777777" w:rsidR="001B0226" w:rsidRDefault="001B0226">
      <w:pPr>
        <w:pBdr>
          <w:top w:val="nil"/>
          <w:left w:val="nil"/>
          <w:bottom w:val="nil"/>
          <w:right w:val="nil"/>
          <w:between w:val="nil"/>
        </w:pBdr>
        <w:tabs>
          <w:tab w:val="center" w:pos="12780"/>
        </w:tabs>
        <w:spacing w:after="101"/>
        <w:jc w:val="both"/>
        <w:rPr>
          <w:rFonts w:ascii="Arial" w:eastAsia="Arial" w:hAnsi="Arial" w:cs="Arial"/>
          <w:color w:val="000000"/>
          <w:sz w:val="18"/>
          <w:szCs w:val="18"/>
        </w:rPr>
      </w:pPr>
    </w:p>
    <w:p w14:paraId="0A9CD151" w14:textId="77777777" w:rsidR="001B0226" w:rsidRDefault="001B0226">
      <w:pPr>
        <w:pBdr>
          <w:top w:val="nil"/>
          <w:left w:val="nil"/>
          <w:bottom w:val="nil"/>
          <w:right w:val="nil"/>
          <w:between w:val="nil"/>
        </w:pBdr>
        <w:spacing w:after="101"/>
        <w:ind w:firstLine="288"/>
        <w:jc w:val="both"/>
        <w:rPr>
          <w:rFonts w:ascii="Arial" w:eastAsia="Arial" w:hAnsi="Arial" w:cs="Arial"/>
          <w:color w:val="000000"/>
          <w:sz w:val="18"/>
          <w:szCs w:val="18"/>
        </w:rPr>
      </w:pPr>
    </w:p>
    <w:p w14:paraId="3D16C8C6" w14:textId="77777777" w:rsidR="001B0226" w:rsidRPr="00CB2A7E" w:rsidRDefault="00CB2A7E">
      <w:pPr>
        <w:pBdr>
          <w:top w:val="nil"/>
          <w:left w:val="nil"/>
          <w:bottom w:val="nil"/>
          <w:right w:val="nil"/>
          <w:between w:val="nil"/>
        </w:pBdr>
        <w:spacing w:after="101"/>
        <w:jc w:val="both"/>
        <w:rPr>
          <w:rFonts w:ascii="Arial" w:eastAsia="Arial" w:hAnsi="Arial" w:cs="Arial"/>
          <w:color w:val="000000"/>
          <w:sz w:val="18"/>
          <w:szCs w:val="18"/>
          <w:lang w:val="en-US"/>
        </w:rPr>
      </w:pPr>
      <w:bookmarkStart w:id="1" w:name="_heading=h.30j0zll" w:colFirst="0" w:colLast="0"/>
      <w:bookmarkEnd w:id="1"/>
      <w:r w:rsidRPr="00CB2A7E">
        <w:rPr>
          <w:rFonts w:ascii="Arial" w:eastAsia="Arial" w:hAnsi="Arial" w:cs="Arial"/>
          <w:b/>
          <w:color w:val="000000"/>
          <w:sz w:val="18"/>
          <w:szCs w:val="18"/>
          <w:lang w:val="en-US"/>
        </w:rPr>
        <w:t xml:space="preserve">BIBLIOGRAFÍA </w:t>
      </w:r>
    </w:p>
    <w:p w14:paraId="2E211E2F" w14:textId="77777777" w:rsidR="001B0226" w:rsidRPr="00CB2A7E" w:rsidRDefault="001B0226">
      <w:pPr>
        <w:pBdr>
          <w:top w:val="nil"/>
          <w:left w:val="nil"/>
          <w:bottom w:val="nil"/>
          <w:right w:val="nil"/>
          <w:between w:val="nil"/>
        </w:pBdr>
        <w:tabs>
          <w:tab w:val="center" w:pos="12780"/>
        </w:tabs>
        <w:spacing w:after="101"/>
        <w:jc w:val="both"/>
        <w:rPr>
          <w:rFonts w:ascii="Arial" w:eastAsia="Arial" w:hAnsi="Arial" w:cs="Arial"/>
          <w:color w:val="000000"/>
          <w:sz w:val="18"/>
          <w:szCs w:val="18"/>
          <w:lang w:val="en-US"/>
        </w:rPr>
      </w:pPr>
    </w:p>
    <w:p w14:paraId="478FCB23" w14:textId="77777777" w:rsidR="001B0226" w:rsidRPr="00CB2A7E" w:rsidRDefault="00CB2A7E">
      <w:pPr>
        <w:jc w:val="both"/>
        <w:rPr>
          <w:rFonts w:ascii="Arial" w:eastAsia="Arial" w:hAnsi="Arial" w:cs="Arial"/>
          <w:sz w:val="18"/>
          <w:szCs w:val="18"/>
          <w:lang w:val="en-US"/>
        </w:rPr>
      </w:pPr>
      <w:r w:rsidRPr="00CB2A7E">
        <w:rPr>
          <w:rFonts w:ascii="Arial" w:eastAsia="Arial" w:hAnsi="Arial" w:cs="Arial"/>
          <w:sz w:val="18"/>
          <w:szCs w:val="18"/>
          <w:lang w:val="en-US"/>
        </w:rPr>
        <w:t xml:space="preserve">Brouwer, H. &amp; Woodhill, J. (2016). </w:t>
      </w:r>
      <w:r w:rsidRPr="00CB2A7E">
        <w:rPr>
          <w:rFonts w:ascii="Arial" w:eastAsia="Arial" w:hAnsi="Arial" w:cs="Arial"/>
          <w:i/>
          <w:sz w:val="18"/>
          <w:szCs w:val="18"/>
          <w:lang w:val="en-US"/>
        </w:rPr>
        <w:t>The MSP Guide</w:t>
      </w:r>
      <w:r w:rsidRPr="00CB2A7E">
        <w:rPr>
          <w:rFonts w:ascii="Arial" w:eastAsia="Arial" w:hAnsi="Arial" w:cs="Arial"/>
          <w:sz w:val="18"/>
          <w:szCs w:val="18"/>
          <w:lang w:val="en-US"/>
        </w:rPr>
        <w:t xml:space="preserve"> (Multistakeholder Partnership). How to design and facilitate multisector partnerships. Practical Action Publishing, Wageningen, The Netherlands. </w:t>
      </w:r>
    </w:p>
    <w:p w14:paraId="7270E44A" w14:textId="77777777" w:rsidR="001B0226" w:rsidRPr="00CB2A7E" w:rsidRDefault="001B0226">
      <w:pPr>
        <w:jc w:val="both"/>
        <w:rPr>
          <w:rFonts w:ascii="Arial" w:eastAsia="Arial" w:hAnsi="Arial" w:cs="Arial"/>
          <w:sz w:val="18"/>
          <w:szCs w:val="18"/>
          <w:lang w:val="en-US"/>
        </w:rPr>
      </w:pPr>
    </w:p>
    <w:p w14:paraId="6FF2DE45" w14:textId="77777777" w:rsidR="001B0226" w:rsidRPr="00CB2A7E" w:rsidRDefault="00CB2A7E">
      <w:pPr>
        <w:rPr>
          <w:rFonts w:ascii="Arial" w:eastAsia="Arial" w:hAnsi="Arial" w:cs="Arial"/>
          <w:sz w:val="18"/>
          <w:szCs w:val="18"/>
          <w:lang w:val="en-US"/>
        </w:rPr>
      </w:pPr>
      <w:r w:rsidRPr="00CB2A7E">
        <w:rPr>
          <w:rFonts w:ascii="Arial" w:eastAsia="Arial" w:hAnsi="Arial" w:cs="Arial"/>
          <w:sz w:val="18"/>
          <w:szCs w:val="18"/>
          <w:lang w:val="en-US"/>
        </w:rPr>
        <w:t>Brouwer, H.  &amp; Brouwers, J (2017) The MSP Tool Guide: Sixty tools to facilitate multi-stakeholder partnershi</w:t>
      </w:r>
      <w:r w:rsidRPr="00CB2A7E">
        <w:rPr>
          <w:rFonts w:ascii="Arial" w:eastAsia="Arial" w:hAnsi="Arial" w:cs="Arial"/>
          <w:sz w:val="18"/>
          <w:szCs w:val="18"/>
          <w:lang w:val="en-US"/>
        </w:rPr>
        <w:t>ps. Companion to The MSP Guide. Wageningen: Wageningen University and Research, CDI.</w:t>
      </w:r>
    </w:p>
    <w:p w14:paraId="5345F2C7" w14:textId="77777777" w:rsidR="001B0226" w:rsidRPr="00CB2A7E" w:rsidRDefault="001B0226">
      <w:pPr>
        <w:pBdr>
          <w:top w:val="nil"/>
          <w:left w:val="nil"/>
          <w:bottom w:val="nil"/>
          <w:right w:val="nil"/>
          <w:between w:val="nil"/>
        </w:pBdr>
        <w:tabs>
          <w:tab w:val="center" w:pos="12780"/>
        </w:tabs>
        <w:jc w:val="both"/>
        <w:rPr>
          <w:rFonts w:ascii="Arial" w:eastAsia="Arial" w:hAnsi="Arial" w:cs="Arial"/>
          <w:sz w:val="18"/>
          <w:szCs w:val="18"/>
          <w:lang w:val="en-US"/>
        </w:rPr>
      </w:pPr>
    </w:p>
    <w:p w14:paraId="3D7FA3EB" w14:textId="77777777" w:rsidR="001B0226" w:rsidRPr="00CB2A7E" w:rsidRDefault="00CB2A7E">
      <w:pPr>
        <w:pBdr>
          <w:top w:val="nil"/>
          <w:left w:val="nil"/>
          <w:bottom w:val="nil"/>
          <w:right w:val="nil"/>
          <w:between w:val="nil"/>
        </w:pBdr>
        <w:tabs>
          <w:tab w:val="center" w:pos="12780"/>
        </w:tabs>
        <w:jc w:val="both"/>
        <w:rPr>
          <w:rFonts w:ascii="Arial" w:eastAsia="Arial" w:hAnsi="Arial" w:cs="Arial"/>
          <w:sz w:val="18"/>
          <w:szCs w:val="18"/>
          <w:lang w:val="en-US"/>
        </w:rPr>
      </w:pPr>
      <w:proofErr w:type="spellStart"/>
      <w:r w:rsidRPr="00CB2A7E">
        <w:rPr>
          <w:rFonts w:ascii="Arial" w:eastAsia="Arial" w:hAnsi="Arial" w:cs="Arial"/>
          <w:sz w:val="18"/>
          <w:szCs w:val="18"/>
          <w:lang w:val="en-US"/>
        </w:rPr>
        <w:t>Erdelen</w:t>
      </w:r>
      <w:proofErr w:type="spellEnd"/>
      <w:r w:rsidRPr="00CB2A7E">
        <w:rPr>
          <w:rFonts w:ascii="Arial" w:eastAsia="Arial" w:hAnsi="Arial" w:cs="Arial"/>
          <w:sz w:val="18"/>
          <w:szCs w:val="18"/>
          <w:lang w:val="en-US"/>
        </w:rPr>
        <w:t xml:space="preserve">, W. R., &amp; Richardson, J. G. (2018). </w:t>
      </w:r>
      <w:r w:rsidRPr="00CB2A7E">
        <w:rPr>
          <w:rFonts w:ascii="Arial" w:eastAsia="Arial" w:hAnsi="Arial" w:cs="Arial"/>
          <w:i/>
          <w:sz w:val="18"/>
          <w:szCs w:val="18"/>
          <w:lang w:val="en-US"/>
        </w:rPr>
        <w:t>Managing Complexity: Earth Systems and Strategies for the Future</w:t>
      </w:r>
      <w:r w:rsidRPr="00CB2A7E">
        <w:rPr>
          <w:rFonts w:ascii="Arial" w:eastAsia="Arial" w:hAnsi="Arial" w:cs="Arial"/>
          <w:sz w:val="18"/>
          <w:szCs w:val="18"/>
          <w:lang w:val="en-US"/>
        </w:rPr>
        <w:t>. Routledge.</w:t>
      </w:r>
    </w:p>
    <w:p w14:paraId="64C0503A" w14:textId="77777777" w:rsidR="001B0226" w:rsidRPr="00CB2A7E" w:rsidRDefault="001B0226">
      <w:pPr>
        <w:pBdr>
          <w:top w:val="nil"/>
          <w:left w:val="nil"/>
          <w:bottom w:val="nil"/>
          <w:right w:val="nil"/>
          <w:between w:val="nil"/>
        </w:pBdr>
        <w:tabs>
          <w:tab w:val="center" w:pos="12780"/>
        </w:tabs>
        <w:jc w:val="both"/>
        <w:rPr>
          <w:rFonts w:ascii="Arial" w:eastAsia="Arial" w:hAnsi="Arial" w:cs="Arial"/>
          <w:sz w:val="18"/>
          <w:szCs w:val="18"/>
          <w:lang w:val="en-US"/>
        </w:rPr>
      </w:pPr>
    </w:p>
    <w:p w14:paraId="40D2A374" w14:textId="77777777" w:rsidR="001B0226" w:rsidRPr="00CB2A7E" w:rsidRDefault="00CB2A7E">
      <w:pPr>
        <w:pBdr>
          <w:top w:val="nil"/>
          <w:left w:val="nil"/>
          <w:bottom w:val="nil"/>
          <w:right w:val="nil"/>
          <w:between w:val="nil"/>
        </w:pBdr>
        <w:tabs>
          <w:tab w:val="center" w:pos="12780"/>
        </w:tabs>
        <w:jc w:val="both"/>
        <w:rPr>
          <w:rFonts w:ascii="Arial" w:eastAsia="Arial" w:hAnsi="Arial" w:cs="Arial"/>
          <w:sz w:val="18"/>
          <w:szCs w:val="18"/>
          <w:lang w:val="en-US"/>
        </w:rPr>
      </w:pPr>
      <w:proofErr w:type="spellStart"/>
      <w:r w:rsidRPr="00CB2A7E">
        <w:rPr>
          <w:rFonts w:ascii="Arial" w:eastAsia="Arial" w:hAnsi="Arial" w:cs="Arial"/>
          <w:sz w:val="18"/>
          <w:szCs w:val="18"/>
          <w:lang w:val="en-US"/>
        </w:rPr>
        <w:t>Demerath</w:t>
      </w:r>
      <w:proofErr w:type="spellEnd"/>
      <w:r w:rsidRPr="00CB2A7E">
        <w:rPr>
          <w:rFonts w:ascii="Arial" w:eastAsia="Arial" w:hAnsi="Arial" w:cs="Arial"/>
          <w:sz w:val="18"/>
          <w:szCs w:val="18"/>
          <w:lang w:val="en-US"/>
        </w:rPr>
        <w:t>, L., &amp; Suarez, E. D. (2019). Teaching c</w:t>
      </w:r>
      <w:r w:rsidRPr="00CB2A7E">
        <w:rPr>
          <w:rFonts w:ascii="Arial" w:eastAsia="Arial" w:hAnsi="Arial" w:cs="Arial"/>
          <w:sz w:val="18"/>
          <w:szCs w:val="18"/>
          <w:lang w:val="en-US"/>
        </w:rPr>
        <w:t xml:space="preserve">omplexity as </w:t>
      </w:r>
      <w:proofErr w:type="spellStart"/>
      <w:r w:rsidRPr="00CB2A7E">
        <w:rPr>
          <w:rFonts w:ascii="Arial" w:eastAsia="Arial" w:hAnsi="Arial" w:cs="Arial"/>
          <w:sz w:val="18"/>
          <w:szCs w:val="18"/>
          <w:lang w:val="en-US"/>
        </w:rPr>
        <w:t>transdisciplinarity</w:t>
      </w:r>
      <w:proofErr w:type="spellEnd"/>
      <w:r w:rsidRPr="00CB2A7E">
        <w:rPr>
          <w:rFonts w:ascii="Arial" w:eastAsia="Arial" w:hAnsi="Arial" w:cs="Arial"/>
          <w:sz w:val="18"/>
          <w:szCs w:val="18"/>
          <w:lang w:val="en-US"/>
        </w:rPr>
        <w:t xml:space="preserve">. In </w:t>
      </w:r>
      <w:r w:rsidRPr="00CB2A7E">
        <w:rPr>
          <w:rFonts w:ascii="Arial" w:eastAsia="Arial" w:hAnsi="Arial" w:cs="Arial"/>
          <w:i/>
          <w:sz w:val="18"/>
          <w:szCs w:val="18"/>
          <w:lang w:val="en-US"/>
        </w:rPr>
        <w:t>Complex Adaptive Systems</w:t>
      </w:r>
      <w:r w:rsidRPr="00CB2A7E">
        <w:rPr>
          <w:rFonts w:ascii="Arial" w:eastAsia="Arial" w:hAnsi="Arial" w:cs="Arial"/>
          <w:sz w:val="18"/>
          <w:szCs w:val="18"/>
          <w:lang w:val="en-US"/>
        </w:rPr>
        <w:t xml:space="preserve"> (pp. 223-250). Springer, Cham.</w:t>
      </w:r>
    </w:p>
    <w:p w14:paraId="6BD55F92" w14:textId="77777777" w:rsidR="001B0226" w:rsidRPr="00CB2A7E" w:rsidRDefault="001B0226">
      <w:pPr>
        <w:pBdr>
          <w:top w:val="nil"/>
          <w:left w:val="nil"/>
          <w:bottom w:val="nil"/>
          <w:right w:val="nil"/>
          <w:between w:val="nil"/>
        </w:pBdr>
        <w:tabs>
          <w:tab w:val="center" w:pos="12780"/>
        </w:tabs>
        <w:jc w:val="both"/>
        <w:rPr>
          <w:rFonts w:ascii="Arial" w:eastAsia="Arial" w:hAnsi="Arial" w:cs="Arial"/>
          <w:sz w:val="18"/>
          <w:szCs w:val="18"/>
          <w:lang w:val="en-US"/>
        </w:rPr>
      </w:pPr>
    </w:p>
    <w:p w14:paraId="73C05A59" w14:textId="77777777" w:rsidR="001B0226" w:rsidRPr="00CB2A7E" w:rsidRDefault="00CB2A7E">
      <w:pPr>
        <w:pBdr>
          <w:top w:val="nil"/>
          <w:left w:val="nil"/>
          <w:bottom w:val="nil"/>
          <w:right w:val="nil"/>
          <w:between w:val="nil"/>
        </w:pBdr>
        <w:tabs>
          <w:tab w:val="center" w:pos="12780"/>
        </w:tabs>
        <w:jc w:val="both"/>
        <w:rPr>
          <w:rFonts w:ascii="Arial" w:eastAsia="Arial" w:hAnsi="Arial" w:cs="Arial"/>
          <w:sz w:val="18"/>
          <w:szCs w:val="18"/>
          <w:lang w:val="en-US"/>
        </w:rPr>
      </w:pPr>
      <w:proofErr w:type="spellStart"/>
      <w:r w:rsidRPr="00CB2A7E">
        <w:rPr>
          <w:rFonts w:ascii="Arial" w:eastAsia="Arial" w:hAnsi="Arial" w:cs="Arial"/>
          <w:sz w:val="18"/>
          <w:szCs w:val="18"/>
          <w:lang w:val="en-US"/>
        </w:rPr>
        <w:t>Margoluis</w:t>
      </w:r>
      <w:proofErr w:type="spellEnd"/>
      <w:r w:rsidRPr="00CB2A7E">
        <w:rPr>
          <w:rFonts w:ascii="Arial" w:eastAsia="Arial" w:hAnsi="Arial" w:cs="Arial"/>
          <w:sz w:val="18"/>
          <w:szCs w:val="18"/>
          <w:lang w:val="en-US"/>
        </w:rPr>
        <w:t xml:space="preserve">, R &amp; </w:t>
      </w:r>
      <w:proofErr w:type="spellStart"/>
      <w:r w:rsidRPr="00CB2A7E">
        <w:rPr>
          <w:rFonts w:ascii="Arial" w:eastAsia="Arial" w:hAnsi="Arial" w:cs="Arial"/>
          <w:sz w:val="18"/>
          <w:szCs w:val="18"/>
          <w:lang w:val="en-US"/>
        </w:rPr>
        <w:t>Salafsky</w:t>
      </w:r>
      <w:proofErr w:type="spellEnd"/>
      <w:r w:rsidRPr="00CB2A7E">
        <w:rPr>
          <w:rFonts w:ascii="Arial" w:eastAsia="Arial" w:hAnsi="Arial" w:cs="Arial"/>
          <w:sz w:val="18"/>
          <w:szCs w:val="18"/>
          <w:lang w:val="en-US"/>
        </w:rPr>
        <w:t xml:space="preserve">, N. (1998). </w:t>
      </w:r>
      <w:r w:rsidRPr="00CB2A7E">
        <w:rPr>
          <w:rFonts w:ascii="Arial" w:eastAsia="Arial" w:hAnsi="Arial" w:cs="Arial"/>
          <w:i/>
          <w:sz w:val="18"/>
          <w:szCs w:val="18"/>
          <w:lang w:val="en-US"/>
        </w:rPr>
        <w:t>Measures of Success</w:t>
      </w:r>
      <w:r w:rsidRPr="00CB2A7E">
        <w:rPr>
          <w:rFonts w:ascii="Arial" w:eastAsia="Arial" w:hAnsi="Arial" w:cs="Arial"/>
          <w:sz w:val="18"/>
          <w:szCs w:val="18"/>
          <w:lang w:val="en-US"/>
        </w:rPr>
        <w:t xml:space="preserve">. Island Press. </w:t>
      </w:r>
    </w:p>
    <w:p w14:paraId="35570158" w14:textId="77777777" w:rsidR="001B0226" w:rsidRPr="00CB2A7E" w:rsidRDefault="001B0226">
      <w:pPr>
        <w:pBdr>
          <w:top w:val="nil"/>
          <w:left w:val="nil"/>
          <w:bottom w:val="nil"/>
          <w:right w:val="nil"/>
          <w:between w:val="nil"/>
        </w:pBdr>
        <w:tabs>
          <w:tab w:val="center" w:pos="12780"/>
        </w:tabs>
        <w:jc w:val="both"/>
        <w:rPr>
          <w:rFonts w:ascii="Arial" w:eastAsia="Arial" w:hAnsi="Arial" w:cs="Arial"/>
          <w:sz w:val="18"/>
          <w:szCs w:val="18"/>
          <w:lang w:val="en-US"/>
        </w:rPr>
      </w:pPr>
    </w:p>
    <w:p w14:paraId="65DB4DEE" w14:textId="77777777" w:rsidR="001B0226" w:rsidRDefault="00CB2A7E">
      <w:pPr>
        <w:pBdr>
          <w:top w:val="nil"/>
          <w:left w:val="nil"/>
          <w:bottom w:val="nil"/>
          <w:right w:val="nil"/>
          <w:between w:val="nil"/>
        </w:pBdr>
        <w:tabs>
          <w:tab w:val="center" w:pos="12780"/>
        </w:tabs>
        <w:jc w:val="both"/>
        <w:rPr>
          <w:rFonts w:ascii="Arial" w:eastAsia="Arial" w:hAnsi="Arial" w:cs="Arial"/>
          <w:color w:val="000000"/>
          <w:sz w:val="18"/>
          <w:szCs w:val="18"/>
        </w:rPr>
      </w:pPr>
      <w:r w:rsidRPr="00CB2A7E">
        <w:rPr>
          <w:rFonts w:ascii="Arial" w:eastAsia="Arial" w:hAnsi="Arial" w:cs="Arial"/>
          <w:sz w:val="18"/>
          <w:szCs w:val="18"/>
          <w:lang w:val="en-US"/>
        </w:rPr>
        <w:lastRenderedPageBreak/>
        <w:t xml:space="preserve">Schneider, A., </w:t>
      </w:r>
      <w:proofErr w:type="spellStart"/>
      <w:r w:rsidRPr="00CB2A7E">
        <w:rPr>
          <w:rFonts w:ascii="Arial" w:eastAsia="Arial" w:hAnsi="Arial" w:cs="Arial"/>
          <w:sz w:val="18"/>
          <w:szCs w:val="18"/>
          <w:lang w:val="en-US"/>
        </w:rPr>
        <w:t>Wickert</w:t>
      </w:r>
      <w:proofErr w:type="spellEnd"/>
      <w:r w:rsidRPr="00CB2A7E">
        <w:rPr>
          <w:rFonts w:ascii="Arial" w:eastAsia="Arial" w:hAnsi="Arial" w:cs="Arial"/>
          <w:sz w:val="18"/>
          <w:szCs w:val="18"/>
          <w:lang w:val="en-US"/>
        </w:rPr>
        <w:t>, C., &amp; Marti, E. (2017). Reducing complexity by creating complexit</w:t>
      </w:r>
      <w:r w:rsidRPr="00CB2A7E">
        <w:rPr>
          <w:rFonts w:ascii="Arial" w:eastAsia="Arial" w:hAnsi="Arial" w:cs="Arial"/>
          <w:sz w:val="18"/>
          <w:szCs w:val="18"/>
          <w:lang w:val="en-US"/>
        </w:rPr>
        <w:t xml:space="preserve">y: A systems theory perspective on how organizations respond to their environments. </w:t>
      </w:r>
      <w:proofErr w:type="spellStart"/>
      <w:r>
        <w:rPr>
          <w:rFonts w:ascii="Arial" w:eastAsia="Arial" w:hAnsi="Arial" w:cs="Arial"/>
          <w:i/>
          <w:sz w:val="18"/>
          <w:szCs w:val="18"/>
        </w:rPr>
        <w:t>Journal</w:t>
      </w:r>
      <w:proofErr w:type="spellEnd"/>
      <w:r>
        <w:rPr>
          <w:rFonts w:ascii="Arial" w:eastAsia="Arial" w:hAnsi="Arial" w:cs="Arial"/>
          <w:i/>
          <w:sz w:val="18"/>
          <w:szCs w:val="18"/>
        </w:rPr>
        <w:t xml:space="preserve"> </w:t>
      </w:r>
      <w:proofErr w:type="spellStart"/>
      <w:r>
        <w:rPr>
          <w:rFonts w:ascii="Arial" w:eastAsia="Arial" w:hAnsi="Arial" w:cs="Arial"/>
          <w:i/>
          <w:sz w:val="18"/>
          <w:szCs w:val="18"/>
        </w:rPr>
        <w:t>of</w:t>
      </w:r>
      <w:proofErr w:type="spellEnd"/>
      <w:r>
        <w:rPr>
          <w:rFonts w:ascii="Arial" w:eastAsia="Arial" w:hAnsi="Arial" w:cs="Arial"/>
          <w:i/>
          <w:sz w:val="18"/>
          <w:szCs w:val="18"/>
        </w:rPr>
        <w:t xml:space="preserve"> Management </w:t>
      </w:r>
      <w:proofErr w:type="spellStart"/>
      <w:r>
        <w:rPr>
          <w:rFonts w:ascii="Arial" w:eastAsia="Arial" w:hAnsi="Arial" w:cs="Arial"/>
          <w:i/>
          <w:sz w:val="18"/>
          <w:szCs w:val="18"/>
        </w:rPr>
        <w:t>Studies</w:t>
      </w:r>
      <w:proofErr w:type="spellEnd"/>
      <w:r>
        <w:rPr>
          <w:rFonts w:ascii="Arial" w:eastAsia="Arial" w:hAnsi="Arial" w:cs="Arial"/>
          <w:sz w:val="18"/>
          <w:szCs w:val="18"/>
        </w:rPr>
        <w:t xml:space="preserve">, </w:t>
      </w:r>
      <w:r>
        <w:rPr>
          <w:rFonts w:ascii="Arial" w:eastAsia="Arial" w:hAnsi="Arial" w:cs="Arial"/>
          <w:i/>
          <w:sz w:val="18"/>
          <w:szCs w:val="18"/>
        </w:rPr>
        <w:t>54</w:t>
      </w:r>
      <w:r>
        <w:rPr>
          <w:rFonts w:ascii="Arial" w:eastAsia="Arial" w:hAnsi="Arial" w:cs="Arial"/>
          <w:sz w:val="18"/>
          <w:szCs w:val="18"/>
        </w:rPr>
        <w:t>(2), 182-208.</w:t>
      </w:r>
    </w:p>
    <w:sectPr w:rsidR="001B0226">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26"/>
    <w:rsid w:val="001B0226"/>
    <w:rsid w:val="00CB2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0F2F"/>
  <w15:docId w15:val="{4977AD5A-856A-488E-B2E8-42FADF4B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1" w:type="dxa"/>
        <w:right w:w="71" w:type="dxa"/>
      </w:tblCellMar>
    </w:tblPr>
  </w:style>
  <w:style w:type="table" w:customStyle="1" w:styleId="a0">
    <w:basedOn w:val="TableNormal1"/>
    <w:tblPr>
      <w:tblStyleRowBandSize w:val="1"/>
      <w:tblStyleColBandSize w:val="1"/>
      <w:tblCellMar>
        <w:left w:w="71" w:type="dxa"/>
        <w:right w:w="71"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3C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3CA6"/>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2237BB"/>
    <w:rPr>
      <w:b/>
      <w:bCs/>
    </w:rPr>
  </w:style>
  <w:style w:type="character" w:customStyle="1" w:styleId="AsuntodelcomentarioCar">
    <w:name w:val="Asunto del comentario Car"/>
    <w:basedOn w:val="TextocomentarioCar"/>
    <w:link w:val="Asuntodelcomentario"/>
    <w:uiPriority w:val="99"/>
    <w:semiHidden/>
    <w:rsid w:val="002237BB"/>
    <w:rPr>
      <w:b/>
      <w:bCs/>
      <w:sz w:val="20"/>
      <w:szCs w:val="20"/>
    </w:rPr>
  </w:style>
  <w:style w:type="table" w:customStyle="1" w:styleId="a1">
    <w:basedOn w:val="TableNormal"/>
    <w:tblPr>
      <w:tblStyleRowBandSize w:val="1"/>
      <w:tblStyleColBandSize w:val="1"/>
      <w:tblCellMar>
        <w:top w:w="0" w:type="dxa"/>
        <w:left w:w="71" w:type="dxa"/>
        <w:bottom w:w="0" w:type="dxa"/>
        <w:right w:w="71" w:type="dxa"/>
      </w:tblCellMar>
    </w:tblPr>
  </w:style>
  <w:style w:type="table" w:customStyle="1" w:styleId="a2">
    <w:basedOn w:val="TableNormal"/>
    <w:tblPr>
      <w:tblStyleRowBandSize w:val="1"/>
      <w:tblStyleColBandSize w:val="1"/>
      <w:tblCellMar>
        <w:top w:w="0" w:type="dxa"/>
        <w:left w:w="71" w:type="dxa"/>
        <w:bottom w:w="0"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4PZ+8C71JUWnMvEmGwBjpz+CFQ==">AMUW2mXAnFhjFqv6/Zo7eio5rT/RJV3wcWvfm7pdKWr7G2OkgFZ859H+2H7VPLBBMhtfxG/o2WhR0AoQFBQxPWtLOoHxwWrCyPPxxgBrPVV7Sr7ndsovOSCM6B30shmjWwm7i5bQ62eJlASpc1rw/7qZdsnSSmCRbGtqfbCWPvH0siITa6rXmsDjJTcngvNAmXxnuuIkGyAk5uGp78osfaNJ3hNbBgKaWg==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6267</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Braulio</dc:creator>
  <cp:lastModifiedBy>Leonardo Chapa Vargas</cp:lastModifiedBy>
  <cp:revision>2</cp:revision>
  <dcterms:created xsi:type="dcterms:W3CDTF">2021-03-24T06:27:00Z</dcterms:created>
  <dcterms:modified xsi:type="dcterms:W3CDTF">2021-05-28T16:25:00Z</dcterms:modified>
</cp:coreProperties>
</file>